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5B98B" w14:textId="77777777" w:rsidR="00125652" w:rsidRDefault="00CB796A">
      <w:pPr>
        <w:tabs>
          <w:tab w:val="left" w:pos="1985"/>
        </w:tabs>
        <w:spacing w:after="0"/>
        <w:rPr>
          <w:rFonts w:ascii="Arial" w:eastAsia="Arial" w:hAnsi="Arial" w:cs="Arial"/>
          <w:b/>
          <w:sz w:val="24"/>
          <w:szCs w:val="24"/>
        </w:rPr>
      </w:pPr>
      <w:bookmarkStart w:id="0" w:name="_gjdgxs" w:colFirst="0" w:colLast="0"/>
      <w:bookmarkEnd w:id="0"/>
      <w:r>
        <w:rPr>
          <w:rFonts w:ascii="Arial" w:eastAsia="Arial" w:hAnsi="Arial" w:cs="Arial"/>
          <w:b/>
          <w:sz w:val="24"/>
          <w:szCs w:val="24"/>
        </w:rPr>
        <w:t>3GPP TSG RAN meeting #91e</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RP-210570</w:t>
      </w:r>
    </w:p>
    <w:p w14:paraId="1EE5B98C" w14:textId="77777777" w:rsidR="00125652" w:rsidRDefault="00CB796A">
      <w:pPr>
        <w:tabs>
          <w:tab w:val="left" w:pos="1985"/>
        </w:tabs>
        <w:spacing w:after="0"/>
        <w:rPr>
          <w:rFonts w:ascii="Arial" w:eastAsia="Arial" w:hAnsi="Arial" w:cs="Arial"/>
          <w:b/>
          <w:sz w:val="24"/>
          <w:szCs w:val="24"/>
        </w:rPr>
      </w:pPr>
      <w:bookmarkStart w:id="1" w:name="_cb4d8uxyusv8" w:colFirst="0" w:colLast="0"/>
      <w:bookmarkEnd w:id="1"/>
      <w:r>
        <w:rPr>
          <w:rFonts w:ascii="Arial" w:eastAsia="Arial" w:hAnsi="Arial" w:cs="Arial"/>
          <w:b/>
          <w:sz w:val="24"/>
          <w:szCs w:val="24"/>
        </w:rPr>
        <w:t>Electronic Meeting, March 16 - 26, 2021</w:t>
      </w:r>
    </w:p>
    <w:p w14:paraId="1EE5B98D" w14:textId="77777777" w:rsidR="00125652" w:rsidRDefault="00CB796A">
      <w:pPr>
        <w:tabs>
          <w:tab w:val="left" w:pos="1985"/>
        </w:tabs>
        <w:spacing w:after="0"/>
        <w:rPr>
          <w:rFonts w:ascii="Arial" w:eastAsia="Arial" w:hAnsi="Arial" w:cs="Arial"/>
          <w:b/>
          <w:sz w:val="24"/>
          <w:szCs w:val="24"/>
        </w:rPr>
      </w:pPr>
      <w:bookmarkStart w:id="2" w:name="_ehwtyhvo4af" w:colFirst="0" w:colLast="0"/>
      <w:bookmarkEnd w:id="2"/>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sz w:val="24"/>
          <w:szCs w:val="24"/>
        </w:rPr>
        <w:tab/>
      </w:r>
    </w:p>
    <w:p w14:paraId="1EE5B98E" w14:textId="77777777" w:rsidR="00125652" w:rsidRDefault="00125652">
      <w:pPr>
        <w:tabs>
          <w:tab w:val="left" w:pos="1985"/>
        </w:tabs>
        <w:spacing w:after="0"/>
        <w:rPr>
          <w:rFonts w:ascii="Arial" w:eastAsia="Arial" w:hAnsi="Arial" w:cs="Arial"/>
          <w:b/>
          <w:sz w:val="24"/>
          <w:szCs w:val="24"/>
        </w:rPr>
      </w:pPr>
    </w:p>
    <w:p w14:paraId="1EE5B98F" w14:textId="77777777" w:rsidR="00125652" w:rsidRDefault="00CB796A">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r>
      <w:r>
        <w:rPr>
          <w:rFonts w:ascii="Arial" w:eastAsia="Arial" w:hAnsi="Arial" w:cs="Arial"/>
          <w:b/>
          <w:sz w:val="24"/>
          <w:szCs w:val="24"/>
        </w:rPr>
        <w:t>10.6.1</w:t>
      </w:r>
      <w:r>
        <w:rPr>
          <w:rFonts w:ascii="Arial" w:eastAsia="Arial" w:hAnsi="Arial" w:cs="Arial"/>
          <w:sz w:val="24"/>
          <w:szCs w:val="24"/>
        </w:rPr>
        <w:t xml:space="preserve"> </w:t>
      </w:r>
    </w:p>
    <w:p w14:paraId="1EE5B990" w14:textId="77777777" w:rsidR="00125652" w:rsidRDefault="00CB796A">
      <w:pPr>
        <w:tabs>
          <w:tab w:val="left" w:pos="1985"/>
        </w:tabs>
        <w:spacing w:after="0"/>
        <w:rPr>
          <w:rFonts w:ascii="Arial" w:eastAsia="Arial" w:hAnsi="Arial" w:cs="Arial"/>
          <w:sz w:val="24"/>
          <w:szCs w:val="24"/>
          <w:highlight w:val="yellow"/>
        </w:rPr>
      </w:pPr>
      <w:r>
        <w:rPr>
          <w:rFonts w:ascii="Arial" w:eastAsia="Arial" w:hAnsi="Arial" w:cs="Arial"/>
          <w:b/>
          <w:sz w:val="24"/>
          <w:szCs w:val="24"/>
        </w:rPr>
        <w:t xml:space="preserve">Source: </w:t>
      </w:r>
      <w:r>
        <w:rPr>
          <w:rFonts w:ascii="Arial" w:eastAsia="Arial" w:hAnsi="Arial" w:cs="Arial"/>
          <w:b/>
          <w:sz w:val="24"/>
          <w:szCs w:val="24"/>
        </w:rPr>
        <w:tab/>
      </w:r>
      <w:proofErr w:type="spellStart"/>
      <w:r>
        <w:rPr>
          <w:rFonts w:ascii="Arial" w:eastAsia="Arial" w:hAnsi="Arial" w:cs="Arial"/>
          <w:sz w:val="24"/>
          <w:szCs w:val="24"/>
        </w:rPr>
        <w:t>GateHouse</w:t>
      </w:r>
      <w:proofErr w:type="spellEnd"/>
      <w:r>
        <w:rPr>
          <w:rFonts w:ascii="Arial" w:eastAsia="Arial" w:hAnsi="Arial" w:cs="Arial"/>
          <w:sz w:val="24"/>
          <w:szCs w:val="24"/>
        </w:rPr>
        <w:t xml:space="preserve"> Satcom</w:t>
      </w:r>
    </w:p>
    <w:p w14:paraId="1EE5B991" w14:textId="5BD9E0E5" w:rsidR="00125652" w:rsidRDefault="00CB796A">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r>
      <w:proofErr w:type="spellStart"/>
      <w:r>
        <w:rPr>
          <w:rFonts w:ascii="Arial" w:eastAsia="Arial" w:hAnsi="Arial" w:cs="Arial"/>
          <w:sz w:val="24"/>
          <w:szCs w:val="24"/>
        </w:rPr>
        <w:t>GateHouse</w:t>
      </w:r>
      <w:proofErr w:type="spellEnd"/>
      <w:r>
        <w:rPr>
          <w:rFonts w:ascii="Arial" w:eastAsia="Arial" w:hAnsi="Arial" w:cs="Arial"/>
          <w:sz w:val="24"/>
          <w:szCs w:val="24"/>
        </w:rPr>
        <w:t xml:space="preserve"> appeals for urgent standardized NTN NB-IoT in Rel17</w:t>
      </w:r>
    </w:p>
    <w:p w14:paraId="1EE5B992" w14:textId="77777777" w:rsidR="00125652" w:rsidRDefault="00CB796A">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w:t>
      </w:r>
    </w:p>
    <w:p w14:paraId="1EE5B993" w14:textId="77777777" w:rsidR="00125652" w:rsidRDefault="00CB796A">
      <w:pPr>
        <w:pStyle w:val="Heading1"/>
      </w:pPr>
      <w:r>
        <w:t>1. Introduction</w:t>
      </w:r>
    </w:p>
    <w:p w14:paraId="1EE5B994" w14:textId="3744F7FB" w:rsidR="00125652" w:rsidRDefault="00CB796A">
      <w:pPr>
        <w:shd w:val="clear" w:color="auto" w:fill="FFFFFF"/>
        <w:spacing w:before="0" w:after="0"/>
      </w:pPr>
      <w:r>
        <w:t>With the rapid increasing market demand for affordable and standardized connectivity to support the growing usages of digitalization and data in a wide range of vertical markets (</w:t>
      </w:r>
      <w:r w:rsidR="00D17B3B">
        <w:t>e.g.</w:t>
      </w:r>
      <w:r>
        <w:t xml:space="preserve">, maritima, transport, agriculture, oil &amp; gas), the new 5G satellite-based services will play a significant role in meeting this demand. </w:t>
      </w:r>
    </w:p>
    <w:p w14:paraId="1EE5B995" w14:textId="77777777" w:rsidR="00125652" w:rsidRDefault="00CB796A">
      <w:pPr>
        <w:shd w:val="clear" w:color="auto" w:fill="FFFFFF"/>
        <w:spacing w:before="0" w:after="0"/>
      </w:pPr>
      <w:r>
        <w:t xml:space="preserve"> </w:t>
      </w:r>
    </w:p>
    <w:p w14:paraId="1EE5B996" w14:textId="77777777" w:rsidR="00125652" w:rsidRDefault="00CB796A">
      <w:pPr>
        <w:shd w:val="clear" w:color="auto" w:fill="FFFFFF"/>
        <w:spacing w:before="0" w:after="0"/>
      </w:pPr>
      <w:r>
        <w:t xml:space="preserve">The essential in servicing the market with 5G NTN based infrastructure is that the users will have the ability to roam and have seamless coverage with the extension of the mobile network to also include satellites.  </w:t>
      </w:r>
    </w:p>
    <w:p w14:paraId="1EE5B997" w14:textId="77777777" w:rsidR="00125652" w:rsidRDefault="00CB796A">
      <w:pPr>
        <w:shd w:val="clear" w:color="auto" w:fill="FFFFFF"/>
        <w:spacing w:before="0" w:after="0"/>
      </w:pPr>
      <w:r>
        <w:t>In 2025 the total market for IoT services including terrestrial is in the order of 31 billion “in-service” devices, reported by IoT Analytics [6], and a rough estimate is that over time maybe 80% of those will be based on the NB-IoT technology.</w:t>
      </w:r>
    </w:p>
    <w:p w14:paraId="1EE5B998" w14:textId="35169D9C" w:rsidR="00125652" w:rsidRDefault="00CB796A">
      <w:pPr>
        <w:shd w:val="clear" w:color="auto" w:fill="FFFFFF"/>
        <w:spacing w:before="0" w:after="0"/>
      </w:pPr>
      <w:r>
        <w:t xml:space="preserve">Speaking to </w:t>
      </w:r>
      <w:r w:rsidR="00D17B3B">
        <w:t>several</w:t>
      </w:r>
      <w:r>
        <w:t xml:space="preserve"> end-users the demand is already there if the technology was available which emphasizes the urgency for having the standard available as soon as possible.   </w:t>
      </w:r>
    </w:p>
    <w:p w14:paraId="1EE5B999" w14:textId="77777777" w:rsidR="00125652" w:rsidRDefault="00CB796A">
      <w:pPr>
        <w:shd w:val="clear" w:color="auto" w:fill="FFFFFF"/>
        <w:spacing w:before="0" w:after="0"/>
      </w:pPr>
      <w:r>
        <w:t xml:space="preserve">The risk of pushing the standardization is that proprietary solutions will gain market share and 3GPP will lose the opportunity to play a significant role in the strategy of serving the world with non-terrestrial network connectivity.  </w:t>
      </w:r>
    </w:p>
    <w:p w14:paraId="1EE5B99A" w14:textId="77777777" w:rsidR="00125652" w:rsidRDefault="00CB796A">
      <w:pPr>
        <w:shd w:val="clear" w:color="auto" w:fill="FFFFFF"/>
        <w:spacing w:before="0" w:after="0"/>
      </w:pPr>
      <w:r>
        <w:t xml:space="preserve">  </w:t>
      </w:r>
    </w:p>
    <w:p w14:paraId="1EE5B99B" w14:textId="6BEA2B34" w:rsidR="00125652" w:rsidRDefault="00CB796A">
      <w:pPr>
        <w:shd w:val="clear" w:color="auto" w:fill="FFFFFF"/>
        <w:spacing w:before="0" w:after="0"/>
      </w:pPr>
      <w:r>
        <w:t xml:space="preserve">The urgency of a IoT NTN solution was explicitly expressed to 3GPP TSG RAN#86 in </w:t>
      </w:r>
      <w:proofErr w:type="spellStart"/>
      <w:r>
        <w:t>Sitges</w:t>
      </w:r>
      <w:proofErr w:type="spellEnd"/>
      <w:r>
        <w:t xml:space="preserve"> in December 2019 [1]: </w:t>
      </w:r>
    </w:p>
    <w:p w14:paraId="1EE5B99C" w14:textId="77777777" w:rsidR="00125652" w:rsidRDefault="00CB796A">
      <w:pPr>
        <w:shd w:val="clear" w:color="auto" w:fill="FFFFFF"/>
        <w:spacing w:before="0" w:after="0"/>
      </w:pPr>
      <w:r>
        <w:t xml:space="preserve"> </w:t>
      </w:r>
    </w:p>
    <w:p w14:paraId="1EE5B99D" w14:textId="0EEF3448" w:rsidR="00125652" w:rsidRDefault="00CB796A">
      <w:pPr>
        <w:numPr>
          <w:ilvl w:val="0"/>
          <w:numId w:val="1"/>
        </w:numPr>
        <w:shd w:val="clear" w:color="auto" w:fill="FFFFFF"/>
        <w:spacing w:before="0" w:after="0"/>
        <w:ind w:left="1080"/>
        <w:jc w:val="left"/>
      </w:pPr>
      <w:r>
        <w:rPr>
          <w:b/>
        </w:rPr>
        <w:t xml:space="preserve">An addressable market does exist &amp; will be captured by non-3GPP solutions if 3GPP does not </w:t>
      </w:r>
      <w:r w:rsidR="00D17B3B">
        <w:rPr>
          <w:b/>
        </w:rPr>
        <w:t>act.</w:t>
      </w:r>
      <w:r>
        <w:t xml:space="preserve">  </w:t>
      </w:r>
    </w:p>
    <w:p w14:paraId="1EE5B99E" w14:textId="56AE5AC0" w:rsidR="00125652" w:rsidRDefault="00CB796A">
      <w:pPr>
        <w:numPr>
          <w:ilvl w:val="0"/>
          <w:numId w:val="1"/>
        </w:numPr>
        <w:shd w:val="clear" w:color="auto" w:fill="FFFFFF"/>
        <w:spacing w:before="0" w:after="0"/>
        <w:ind w:left="1080"/>
        <w:jc w:val="left"/>
      </w:pPr>
      <w:r>
        <w:rPr>
          <w:b/>
        </w:rPr>
        <w:t xml:space="preserve">Satellite NB-IoT can enable new market opportunities for MNOs to develop new hybrid offers where the satellite infrastructure is seamlessly integrated to and complements terrestrial IoT </w:t>
      </w:r>
      <w:r w:rsidR="00D17B3B">
        <w:rPr>
          <w:b/>
        </w:rPr>
        <w:t>networks.</w:t>
      </w:r>
      <w:r>
        <w:t xml:space="preserve">  </w:t>
      </w:r>
    </w:p>
    <w:p w14:paraId="1EE5B99F" w14:textId="77777777" w:rsidR="00125652" w:rsidRDefault="00CB796A">
      <w:pPr>
        <w:shd w:val="clear" w:color="auto" w:fill="FFFFFF"/>
        <w:spacing w:before="0" w:after="0"/>
      </w:pPr>
      <w:r>
        <w:t xml:space="preserve"> </w:t>
      </w:r>
    </w:p>
    <w:p w14:paraId="1EE5B9A0" w14:textId="77777777" w:rsidR="00125652" w:rsidRDefault="00CB796A">
      <w:pPr>
        <w:shd w:val="clear" w:color="auto" w:fill="FFFFFF"/>
        <w:spacing w:before="0" w:after="0"/>
      </w:pPr>
      <w:r>
        <w:t>In the same meeting, the study item of “Study on NB-Io/</w:t>
      </w:r>
      <w:proofErr w:type="spellStart"/>
      <w:r>
        <w:t>eMTC</w:t>
      </w:r>
      <w:proofErr w:type="spellEnd"/>
      <w:r>
        <w:t xml:space="preserve"> support for Non-Terrestrial Network” was approved for Rel-17 [2].  </w:t>
      </w:r>
    </w:p>
    <w:p w14:paraId="1EE5B9A1" w14:textId="214E842C" w:rsidR="00125652" w:rsidRDefault="00CB796A">
      <w:pPr>
        <w:shd w:val="clear" w:color="auto" w:fill="FFFFFF"/>
        <w:spacing w:before="0" w:after="0"/>
      </w:pPr>
      <w:r>
        <w:t xml:space="preserve">Work on the NTN-IoT SI commenced in November 2020 via WG meetings conducted as official email discussions. The recent RAN1 and RAN2 WG meetings in January-February marked the first in-meeting discussion in RAN 1 and RAN 2. Good progress was achieved, with outcomes and findings being compiled in 3GPP TR 36.763. In the interest of time, the SI was structured to leverage the outcomes of the NTN-NR study in Rel-16. Studies are planned to be completed at the end of 2nd quarter, with the goal of starting normative phase in 3rd quarter </w:t>
      </w:r>
      <w:r w:rsidR="00570FF5">
        <w:t>to</w:t>
      </w:r>
      <w:r>
        <w:t xml:space="preserve"> develop an early/minimum IoT NTN specification in Rel-17.  </w:t>
      </w:r>
    </w:p>
    <w:p w14:paraId="1EE5B9A2" w14:textId="77777777" w:rsidR="00125652" w:rsidRDefault="00CB796A">
      <w:pPr>
        <w:shd w:val="clear" w:color="auto" w:fill="FFFFFF"/>
        <w:spacing w:before="0" w:after="0"/>
      </w:pPr>
      <w:r>
        <w:t xml:space="preserve">To keep expectations and ensure that 3GPP could deliver an early/minimum NB-IoT NTN solution under Rel-17, it is important to start delineating the scope of a following Rel-17 normative phase. This document advocates in this respect.  </w:t>
      </w:r>
    </w:p>
    <w:p w14:paraId="1EE5B9A3" w14:textId="77777777" w:rsidR="00125652" w:rsidRDefault="00CB796A">
      <w:pPr>
        <w:shd w:val="clear" w:color="auto" w:fill="FFFFFF"/>
        <w:spacing w:before="0" w:after="0"/>
      </w:pPr>
      <w:r>
        <w:t xml:space="preserve"> </w:t>
      </w:r>
    </w:p>
    <w:p w14:paraId="1EE5B9A4" w14:textId="77777777" w:rsidR="00125652" w:rsidRDefault="00125652">
      <w:pPr>
        <w:shd w:val="clear" w:color="auto" w:fill="FFFFFF"/>
        <w:spacing w:before="0" w:after="0"/>
      </w:pPr>
    </w:p>
    <w:p w14:paraId="1EE5B9A5" w14:textId="77777777" w:rsidR="00125652" w:rsidRDefault="00125652">
      <w:pPr>
        <w:spacing w:before="0" w:after="120"/>
      </w:pPr>
    </w:p>
    <w:p w14:paraId="1EE5B9A6" w14:textId="77777777" w:rsidR="00125652" w:rsidRDefault="00125652">
      <w:pPr>
        <w:spacing w:before="0" w:after="120"/>
      </w:pPr>
    </w:p>
    <w:p w14:paraId="1EE5B9A7" w14:textId="77777777" w:rsidR="00125652" w:rsidRDefault="00CB796A">
      <w:pPr>
        <w:pStyle w:val="Heading1"/>
      </w:pPr>
      <w:bookmarkStart w:id="3" w:name="_30j0zll" w:colFirst="0" w:colLast="0"/>
      <w:bookmarkEnd w:id="3"/>
      <w:r>
        <w:lastRenderedPageBreak/>
        <w:t>2. Need and urgency for 3GPP NTN NB-IoT in Release 17</w:t>
      </w:r>
    </w:p>
    <w:p w14:paraId="1EE5B9A8" w14:textId="77777777" w:rsidR="00125652" w:rsidRDefault="00CB796A">
      <w:pPr>
        <w:shd w:val="clear" w:color="auto" w:fill="FFFFFF"/>
        <w:spacing w:before="0" w:after="0"/>
      </w:pPr>
      <w:r>
        <w:t xml:space="preserve">Technology development requires time to reach commercial quality. By pushing the timeline for the 5G IoT NTN standardization, the availability of the technology for commercial services will be pushed even further. This will reduce the likelihood for success, both for the standard, but also for the companies committed to contribute to standardization and committed to deliver technology.  </w:t>
      </w:r>
    </w:p>
    <w:p w14:paraId="1EE5B9A9" w14:textId="6CA062B0" w:rsidR="00125652" w:rsidRDefault="00CB796A">
      <w:pPr>
        <w:shd w:val="clear" w:color="auto" w:fill="FFFFFF"/>
        <w:spacing w:before="0" w:after="0"/>
      </w:pPr>
      <w:proofErr w:type="spellStart"/>
      <w:r>
        <w:t>GateHouse</w:t>
      </w:r>
      <w:proofErr w:type="spellEnd"/>
      <w:r>
        <w:t xml:space="preserve"> already invested in the development of the technology </w:t>
      </w:r>
      <w:r w:rsidR="00570FF5">
        <w:t>and</w:t>
      </w:r>
      <w:r>
        <w:t xml:space="preserve"> was rewarded support from ESA for initial definition and demonstration phases.  </w:t>
      </w:r>
    </w:p>
    <w:p w14:paraId="1EE5B9AA" w14:textId="77777777" w:rsidR="00125652" w:rsidRDefault="00CB796A">
      <w:pPr>
        <w:shd w:val="clear" w:color="auto" w:fill="FFFFFF"/>
        <w:spacing w:before="0" w:after="0"/>
      </w:pPr>
      <w:r>
        <w:t xml:space="preserve">Further is </w:t>
      </w:r>
      <w:proofErr w:type="spellStart"/>
      <w:r>
        <w:t>GateHouse</w:t>
      </w:r>
      <w:proofErr w:type="spellEnd"/>
      <w:r>
        <w:t xml:space="preserve"> committed to deliver to customers around the world the technology that will enable 5G NB-IoT NTN services.  </w:t>
      </w:r>
    </w:p>
    <w:p w14:paraId="1EE5B9AB" w14:textId="77777777" w:rsidR="00125652" w:rsidRDefault="00CB796A">
      <w:pPr>
        <w:shd w:val="clear" w:color="auto" w:fill="FFFFFF"/>
        <w:spacing w:before="0" w:after="0"/>
      </w:pPr>
      <w:proofErr w:type="spellStart"/>
      <w:r>
        <w:t>GateHouse</w:t>
      </w:r>
      <w:proofErr w:type="spellEnd"/>
      <w:r>
        <w:t xml:space="preserve"> Satcom sees the 3GPP standardization for 5G NTN already being late, this seen in relation to the market demand and trends.  </w:t>
      </w:r>
    </w:p>
    <w:p w14:paraId="1EE5B9AC" w14:textId="77777777" w:rsidR="00125652" w:rsidRDefault="00CB796A">
      <w:pPr>
        <w:shd w:val="clear" w:color="auto" w:fill="FFFFFF"/>
        <w:spacing w:before="0" w:after="0"/>
      </w:pPr>
      <w:r>
        <w:t xml:space="preserve"> </w:t>
      </w:r>
    </w:p>
    <w:p w14:paraId="1EE5B9AD" w14:textId="77777777" w:rsidR="00125652" w:rsidRDefault="00CB796A">
      <w:pPr>
        <w:shd w:val="clear" w:color="auto" w:fill="FFFFFF"/>
        <w:spacing w:before="0" w:after="0"/>
      </w:pPr>
      <w:r>
        <w:t xml:space="preserve">Gatehouse is levering on their business and technical expertise in relation to satellite communications and services. Seeing a market that is already engaging in satellite-oriented services, enabling support for low data/global coverage, it is crucial to act now in relation to define the necessary standard. The convergence and coexistence of the terrestrial and non-terrestrial IoT communications will enable a seamless integration to MNOs and new Service Providers. This avoids segmentation, and non-standard communication solutions, lowering the risk of interoperability and radio spectrum conflicts.  </w:t>
      </w:r>
    </w:p>
    <w:p w14:paraId="1EE5B9AE" w14:textId="77777777" w:rsidR="00125652" w:rsidRDefault="00CB796A">
      <w:pPr>
        <w:shd w:val="clear" w:color="auto" w:fill="FFFFFF"/>
        <w:spacing w:before="0" w:after="0"/>
      </w:pPr>
      <w:r>
        <w:t xml:space="preserve">To support this, Gatehouse’s NB-IoT NTN strategy started in 2019, and all inhouse development is deriving from the existing NB-IoT TN standards, and only adding adaptation to the specific NTN scenarios. Future services will benefit from devices capable of establishing connections via the TN, as well as the NTN IoT networks, seamlessly supported side-by-side in the devices. This so the TN and NTN technologies deliver transparently the service they need to guard or deliver. </w:t>
      </w:r>
    </w:p>
    <w:p w14:paraId="1EE5B9AF" w14:textId="77777777" w:rsidR="00125652" w:rsidRDefault="00CB796A">
      <w:pPr>
        <w:shd w:val="clear" w:color="auto" w:fill="FFFFFF"/>
        <w:spacing w:before="0" w:after="0"/>
      </w:pPr>
      <w:r>
        <w:t xml:space="preserve"> </w:t>
      </w:r>
    </w:p>
    <w:p w14:paraId="1EE5B9B0" w14:textId="242F44E6" w:rsidR="00125652" w:rsidRDefault="00CB796A">
      <w:pPr>
        <w:numPr>
          <w:ilvl w:val="0"/>
          <w:numId w:val="2"/>
        </w:numPr>
        <w:spacing w:before="0" w:after="0"/>
        <w:ind w:left="1080"/>
        <w:jc w:val="left"/>
      </w:pPr>
      <w:r>
        <w:t xml:space="preserve">Gatehouse invests substantially in developing NB-IoT NTN following a 3GPP approach, and not as a proprietary </w:t>
      </w:r>
      <w:r w:rsidR="00D17B3B">
        <w:t>solution.</w:t>
      </w:r>
      <w:r>
        <w:t xml:space="preserve">  </w:t>
      </w:r>
    </w:p>
    <w:p w14:paraId="1EE5B9B1" w14:textId="04CA97E8" w:rsidR="00125652" w:rsidRDefault="00CB796A">
      <w:pPr>
        <w:numPr>
          <w:ilvl w:val="0"/>
          <w:numId w:val="2"/>
        </w:numPr>
        <w:spacing w:before="0" w:after="0"/>
        <w:ind w:left="1080"/>
        <w:jc w:val="left"/>
      </w:pPr>
      <w:r>
        <w:t>Gatehouse development is ongoing, and respected by organizations like ESA, SATELIOT, and Danish government</w:t>
      </w:r>
      <w:r w:rsidR="00D17B3B">
        <w:t>.</w:t>
      </w:r>
    </w:p>
    <w:p w14:paraId="1EE5B9B2" w14:textId="24C568F6" w:rsidR="00125652" w:rsidRDefault="00CB796A">
      <w:pPr>
        <w:numPr>
          <w:ilvl w:val="0"/>
          <w:numId w:val="2"/>
        </w:numPr>
        <w:spacing w:before="0" w:after="0"/>
        <w:ind w:left="1080"/>
        <w:jc w:val="left"/>
      </w:pPr>
      <w:r>
        <w:t>Gatehouse’s investment is long-term, and in need for initial consensus on NB-IoT NTN scenarios to enable NTN commercial services to be visible in 2022/2023</w:t>
      </w:r>
      <w:r w:rsidR="00D17B3B">
        <w:t>.</w:t>
      </w:r>
    </w:p>
    <w:p w14:paraId="1EE5B9B3" w14:textId="77777777" w:rsidR="00125652" w:rsidRDefault="00CB796A">
      <w:pPr>
        <w:shd w:val="clear" w:color="auto" w:fill="FFFFFF"/>
        <w:spacing w:before="0" w:after="0"/>
      </w:pPr>
      <w:r>
        <w:t xml:space="preserve">  </w:t>
      </w:r>
    </w:p>
    <w:p w14:paraId="1EE5B9B4" w14:textId="77777777" w:rsidR="00125652" w:rsidRDefault="00CB796A">
      <w:pPr>
        <w:shd w:val="clear" w:color="auto" w:fill="FFFFFF"/>
        <w:spacing w:before="0" w:after="0"/>
      </w:pPr>
      <w:r>
        <w:t>Keeping the schedule for the normative phase following the study item of “Study on NB-IoT/</w:t>
      </w:r>
      <w:proofErr w:type="spellStart"/>
      <w:r>
        <w:t>eMTC</w:t>
      </w:r>
      <w:proofErr w:type="spellEnd"/>
      <w:r>
        <w:t xml:space="preserve"> support for Non-Terrestrial Network” in Rel-17 is essential to ensure the service can be enabled on short term and start servicing those industries which already observing issues with global coverages on IoT and having a clear demand for the services that basically only can be meet using a satellite-based infrastructure at least the only one that is economically viable. </w:t>
      </w:r>
    </w:p>
    <w:p w14:paraId="1EE5B9B5" w14:textId="77777777" w:rsidR="00125652" w:rsidRDefault="00CB796A">
      <w:pPr>
        <w:shd w:val="clear" w:color="auto" w:fill="FFFFFF"/>
        <w:spacing w:before="0" w:after="0"/>
      </w:pPr>
      <w:r>
        <w:t xml:space="preserve"> </w:t>
      </w:r>
    </w:p>
    <w:p w14:paraId="1EE5B9B6" w14:textId="77777777" w:rsidR="00125652" w:rsidRDefault="00CB796A">
      <w:pPr>
        <w:shd w:val="clear" w:color="auto" w:fill="FFFFFF"/>
        <w:spacing w:before="0" w:after="0"/>
      </w:pPr>
      <w:r>
        <w:t xml:space="preserve">We observe and have specific requests for use-cases in both the oil- and transport industry that are looking at satellite-based IoT as the solution to their data acquisition and data transport for remote control and monitoring of assets. </w:t>
      </w:r>
    </w:p>
    <w:p w14:paraId="1EE5B9B7" w14:textId="77777777" w:rsidR="00125652" w:rsidRDefault="00CB796A">
      <w:pPr>
        <w:shd w:val="clear" w:color="auto" w:fill="FFFFFF"/>
        <w:spacing w:before="0" w:after="0"/>
      </w:pPr>
      <w:r>
        <w:t xml:space="preserve"> </w:t>
      </w:r>
    </w:p>
    <w:p w14:paraId="1EE5B9B8" w14:textId="77777777" w:rsidR="00125652" w:rsidRDefault="00CB796A">
      <w:pPr>
        <w:shd w:val="clear" w:color="auto" w:fill="FFFFFF"/>
        <w:spacing w:before="0" w:after="0"/>
        <w:rPr>
          <w:highlight w:val="yellow"/>
        </w:rPr>
      </w:pPr>
      <w:r>
        <w:t xml:space="preserve">The features which should be included may be reduced to a minimum of what is required to secure a commercial service (focus static devices and idle mobility). </w:t>
      </w:r>
    </w:p>
    <w:p w14:paraId="1EE5B9B9" w14:textId="77777777" w:rsidR="00125652" w:rsidRDefault="00CB796A">
      <w:pPr>
        <w:pStyle w:val="Heading1"/>
      </w:pPr>
      <w:bookmarkStart w:id="4" w:name="_lnxbz9" w:colFirst="0" w:colLast="0"/>
      <w:bookmarkEnd w:id="4"/>
      <w:r>
        <w:t>3. Conclusions</w:t>
      </w:r>
    </w:p>
    <w:p w14:paraId="1EE5B9BA" w14:textId="77777777" w:rsidR="00125652" w:rsidRDefault="00CB796A">
      <w:pPr>
        <w:shd w:val="clear" w:color="auto" w:fill="FFFFFF"/>
        <w:spacing w:before="0" w:after="0"/>
        <w:rPr>
          <w:sz w:val="24"/>
          <w:szCs w:val="24"/>
        </w:rPr>
      </w:pPr>
      <w:r>
        <w:rPr>
          <w:sz w:val="24"/>
          <w:szCs w:val="24"/>
        </w:rPr>
        <w:t xml:space="preserve">This document has argued on the need for 3GPP to be able to come up with an initial adaptation/enhancement of the NB-IoT protocol for NTN under Rel-17.  </w:t>
      </w:r>
    </w:p>
    <w:p w14:paraId="1EE5B9BB" w14:textId="77777777" w:rsidR="00125652" w:rsidRDefault="00CB796A">
      <w:pPr>
        <w:shd w:val="clear" w:color="auto" w:fill="FFFFFF"/>
        <w:spacing w:before="0" w:after="0"/>
        <w:rPr>
          <w:sz w:val="24"/>
          <w:szCs w:val="24"/>
        </w:rPr>
      </w:pPr>
      <w:r>
        <w:rPr>
          <w:b/>
          <w:sz w:val="24"/>
          <w:szCs w:val="24"/>
        </w:rPr>
        <w:t xml:space="preserve">Proposal: Promote the start of the normative phase for an initial/minimum IoT NTN solution to be completed under Release 17, which would allow early launching of commercial services based on 3GPP standards during the 2022-2023 timeframe. </w:t>
      </w:r>
      <w:r>
        <w:rPr>
          <w:sz w:val="24"/>
          <w:szCs w:val="24"/>
        </w:rPr>
        <w:t xml:space="preserve"> </w:t>
      </w:r>
    </w:p>
    <w:p w14:paraId="1EE5B9BC" w14:textId="77777777" w:rsidR="00125652" w:rsidRDefault="00CB796A">
      <w:pPr>
        <w:shd w:val="clear" w:color="auto" w:fill="FFFFFF"/>
        <w:spacing w:before="0" w:after="0"/>
        <w:rPr>
          <w:sz w:val="24"/>
          <w:szCs w:val="24"/>
        </w:rPr>
      </w:pPr>
      <w:r>
        <w:rPr>
          <w:sz w:val="24"/>
          <w:szCs w:val="24"/>
        </w:rPr>
        <w:t xml:space="preserve"> </w:t>
      </w:r>
    </w:p>
    <w:p w14:paraId="1EE5B9BD" w14:textId="77777777" w:rsidR="00125652" w:rsidRDefault="00CB796A">
      <w:pPr>
        <w:pStyle w:val="Heading1"/>
      </w:pPr>
      <w:r>
        <w:lastRenderedPageBreak/>
        <w:t>4. References</w:t>
      </w:r>
    </w:p>
    <w:p w14:paraId="1EE5B9BE" w14:textId="77777777" w:rsidR="00125652" w:rsidRDefault="00125652">
      <w:pPr>
        <w:pBdr>
          <w:top w:val="nil"/>
          <w:left w:val="nil"/>
          <w:bottom w:val="nil"/>
          <w:right w:val="nil"/>
          <w:between w:val="nil"/>
        </w:pBdr>
        <w:spacing w:after="60"/>
        <w:ind w:left="6031"/>
      </w:pPr>
    </w:p>
    <w:p w14:paraId="1EE5B9BF" w14:textId="77777777" w:rsidR="00125652" w:rsidRDefault="00570FF5">
      <w:pPr>
        <w:numPr>
          <w:ilvl w:val="0"/>
          <w:numId w:val="3"/>
        </w:numPr>
        <w:pBdr>
          <w:top w:val="nil"/>
          <w:left w:val="nil"/>
          <w:bottom w:val="nil"/>
          <w:right w:val="nil"/>
          <w:between w:val="nil"/>
        </w:pBdr>
        <w:spacing w:after="60"/>
        <w:ind w:left="230"/>
      </w:pPr>
      <w:hyperlink r:id="rId5">
        <w:r w:rsidR="00CB796A">
          <w:rPr>
            <w:color w:val="1155CC"/>
            <w:u w:val="single"/>
          </w:rPr>
          <w:t>RP-192670</w:t>
        </w:r>
      </w:hyperlink>
      <w:r w:rsidR="00CB796A">
        <w:t xml:space="preserve">, “Satellite NB-IoT Urgency for a global </w:t>
      </w:r>
      <w:proofErr w:type="spellStart"/>
      <w:r w:rsidR="00CB796A">
        <w:t>standard”MediaTek</w:t>
      </w:r>
      <w:proofErr w:type="spellEnd"/>
      <w:r w:rsidR="00CB796A">
        <w:t xml:space="preserve"> Inc., Qualcomm, Eutelsat, </w:t>
      </w:r>
      <w:proofErr w:type="spellStart"/>
      <w:r w:rsidR="00CB796A">
        <w:t>Novamint</w:t>
      </w:r>
      <w:proofErr w:type="spellEnd"/>
      <w:r w:rsidR="00CB796A">
        <w:t xml:space="preserve">, VTT Technical Research of Finland Ltd, </w:t>
      </w:r>
      <w:proofErr w:type="spellStart"/>
      <w:r w:rsidR="00CB796A">
        <w:t>Ligado</w:t>
      </w:r>
      <w:proofErr w:type="spellEnd"/>
      <w:r w:rsidR="00CB796A">
        <w:t xml:space="preserve">, Inmarsat, 3GPP TSG RAN#86, </w:t>
      </w:r>
      <w:proofErr w:type="spellStart"/>
      <w:r w:rsidR="00CB796A">
        <w:t>Sitges</w:t>
      </w:r>
      <w:proofErr w:type="spellEnd"/>
      <w:r w:rsidR="00CB796A">
        <w:t>, Spain – December 9th-12th, 2019</w:t>
      </w:r>
    </w:p>
    <w:p w14:paraId="1EE5B9C0" w14:textId="77777777" w:rsidR="00125652" w:rsidRDefault="00570FF5">
      <w:pPr>
        <w:numPr>
          <w:ilvl w:val="0"/>
          <w:numId w:val="3"/>
        </w:numPr>
        <w:pBdr>
          <w:top w:val="nil"/>
          <w:left w:val="nil"/>
          <w:bottom w:val="nil"/>
          <w:right w:val="nil"/>
          <w:between w:val="nil"/>
        </w:pBdr>
        <w:spacing w:after="60"/>
        <w:ind w:left="230"/>
      </w:pPr>
      <w:hyperlink r:id="rId6">
        <w:r w:rsidR="00CB796A">
          <w:rPr>
            <w:color w:val="1155CC"/>
            <w:u w:val="single"/>
          </w:rPr>
          <w:t>RP-193235</w:t>
        </w:r>
      </w:hyperlink>
      <w:r w:rsidR="00CB796A">
        <w:t>, “Study on NB-Io/</w:t>
      </w:r>
      <w:proofErr w:type="spellStart"/>
      <w:r w:rsidR="00CB796A">
        <w:t>eMTC</w:t>
      </w:r>
      <w:proofErr w:type="spellEnd"/>
      <w:r w:rsidR="00CB796A">
        <w:t xml:space="preserve"> support for Non-Terrestrial Network”, MediaTek Inc, 3GPP TSG RAN Meeting #86 </w:t>
      </w:r>
      <w:r w:rsidR="00CB796A">
        <w:tab/>
      </w:r>
      <w:proofErr w:type="spellStart"/>
      <w:r w:rsidR="00CB796A">
        <w:t>Sitges</w:t>
      </w:r>
      <w:proofErr w:type="spellEnd"/>
      <w:r w:rsidR="00CB796A">
        <w:t>, Spain, December 9-31, 2019</w:t>
      </w:r>
    </w:p>
    <w:p w14:paraId="1EE5B9C1" w14:textId="77777777" w:rsidR="00125652" w:rsidRDefault="00CB796A">
      <w:pPr>
        <w:numPr>
          <w:ilvl w:val="0"/>
          <w:numId w:val="3"/>
        </w:numPr>
        <w:pBdr>
          <w:top w:val="nil"/>
          <w:left w:val="nil"/>
          <w:bottom w:val="nil"/>
          <w:right w:val="nil"/>
          <w:between w:val="nil"/>
        </w:pBdr>
        <w:spacing w:after="60"/>
        <w:ind w:left="230"/>
      </w:pPr>
      <w:r>
        <w:t xml:space="preserve">R1-2009098, “Discussion on scenarios applicable to NB-IoT NTN, Gatehouse, </w:t>
      </w:r>
      <w:proofErr w:type="spellStart"/>
      <w:r>
        <w:t>Sateliot</w:t>
      </w:r>
      <w:proofErr w:type="spellEnd"/>
      <w:r>
        <w:t xml:space="preserve">, 3GPP TSG RAN WG1 #103 e-Meeting, October 26th – November 13th, 2020. Available at </w:t>
      </w:r>
      <w:hyperlink r:id="rId7">
        <w:r>
          <w:rPr>
            <w:color w:val="0000FF"/>
            <w:u w:val="single"/>
          </w:rPr>
          <w:t>https://www.3gpp.org/ftp/tsg_ran/WG1_RL1/TSGR1_103-e/Docs/R1-2009098.zip</w:t>
        </w:r>
      </w:hyperlink>
    </w:p>
    <w:p w14:paraId="1EE5B9C2" w14:textId="77777777" w:rsidR="00125652" w:rsidRDefault="00CB796A">
      <w:pPr>
        <w:numPr>
          <w:ilvl w:val="0"/>
          <w:numId w:val="3"/>
        </w:numPr>
        <w:pBdr>
          <w:top w:val="nil"/>
          <w:left w:val="nil"/>
          <w:bottom w:val="nil"/>
          <w:right w:val="nil"/>
          <w:between w:val="nil"/>
        </w:pBdr>
        <w:spacing w:after="60"/>
        <w:ind w:left="230"/>
        <w:rPr>
          <w:color w:val="000000"/>
        </w:rPr>
      </w:pPr>
      <w:r>
        <w:t>RP-193235</w:t>
      </w:r>
      <w:r>
        <w:rPr>
          <w:color w:val="000000"/>
        </w:rPr>
        <w:t>, “Study on NB-Io/</w:t>
      </w:r>
      <w:proofErr w:type="spellStart"/>
      <w:r>
        <w:rPr>
          <w:color w:val="000000"/>
        </w:rPr>
        <w:t>eMTC</w:t>
      </w:r>
      <w:proofErr w:type="spellEnd"/>
      <w:r>
        <w:rPr>
          <w:color w:val="000000"/>
        </w:rPr>
        <w:t xml:space="preserve"> support for Non-Terrestrial Network”, MediaTek Inc</w:t>
      </w:r>
      <w:r>
        <w:t xml:space="preserve">, </w:t>
      </w:r>
      <w:r>
        <w:rPr>
          <w:color w:val="000000"/>
        </w:rPr>
        <w:t xml:space="preserve">3GPP TSG RAN Meeting #86 </w:t>
      </w:r>
      <w:r>
        <w:rPr>
          <w:color w:val="000000"/>
        </w:rPr>
        <w:tab/>
      </w:r>
      <w:proofErr w:type="spellStart"/>
      <w:r>
        <w:rPr>
          <w:color w:val="000000"/>
        </w:rPr>
        <w:t>Sitges</w:t>
      </w:r>
      <w:proofErr w:type="spellEnd"/>
      <w:r>
        <w:rPr>
          <w:color w:val="000000"/>
        </w:rPr>
        <w:t>, Spain, December 9-31, 2019</w:t>
      </w:r>
    </w:p>
    <w:p w14:paraId="1EE5B9C3" w14:textId="77777777" w:rsidR="00125652" w:rsidRDefault="00CB796A">
      <w:pPr>
        <w:numPr>
          <w:ilvl w:val="0"/>
          <w:numId w:val="3"/>
        </w:numPr>
        <w:pBdr>
          <w:top w:val="nil"/>
          <w:left w:val="nil"/>
          <w:bottom w:val="nil"/>
          <w:right w:val="nil"/>
          <w:between w:val="nil"/>
        </w:pBdr>
        <w:spacing w:after="60"/>
        <w:ind w:left="230"/>
      </w:pPr>
      <w:r>
        <w:t>R1-2008868 “Email summary discussion on Scenarios applicable to NB-IoT/</w:t>
      </w:r>
      <w:proofErr w:type="spellStart"/>
      <w:r>
        <w:t>eMTC</w:t>
      </w:r>
      <w:proofErr w:type="spellEnd"/>
      <w:r>
        <w:t xml:space="preserve">”, 3GPP TSG RAN WG1 #103 e-Meeting, October 26th – November 13th, 2020. Available at </w:t>
      </w:r>
      <w:hyperlink r:id="rId8">
        <w:r>
          <w:rPr>
            <w:color w:val="1155CC"/>
            <w:u w:val="single"/>
          </w:rPr>
          <w:t>https://www.3gpp.org/ftp/tsg_ran/WG1_RL1/TSGR1_103-e/Docs/R1-2008868.zip</w:t>
        </w:r>
      </w:hyperlink>
    </w:p>
    <w:p w14:paraId="1EE5B9C4" w14:textId="77777777" w:rsidR="00125652" w:rsidRDefault="00CB796A">
      <w:pPr>
        <w:numPr>
          <w:ilvl w:val="0"/>
          <w:numId w:val="3"/>
        </w:numPr>
        <w:pBdr>
          <w:top w:val="nil"/>
          <w:left w:val="nil"/>
          <w:bottom w:val="nil"/>
          <w:right w:val="nil"/>
          <w:between w:val="nil"/>
        </w:pBdr>
        <w:spacing w:after="60"/>
        <w:ind w:left="230"/>
      </w:pPr>
      <w:r>
        <w:t xml:space="preserve">“State of the IoT 2020: 12 billion IoT connections, surpassing non-IoT for the first time”,    </w:t>
      </w:r>
      <w:hyperlink r:id="rId9">
        <w:r>
          <w:rPr>
            <w:color w:val="1155CC"/>
            <w:u w:val="single"/>
          </w:rPr>
          <w:t>https://iot-analytics.com/state-of-the-iot-2020-12-billion-iot-connections-surpassing-non-iot-for-the-first-time/</w:t>
        </w:r>
      </w:hyperlink>
      <w:r>
        <w:t>, IoT Analytics, 19 November 2020</w:t>
      </w:r>
    </w:p>
    <w:p w14:paraId="1EE5B9C5" w14:textId="77777777" w:rsidR="00125652" w:rsidRDefault="00125652">
      <w:pPr>
        <w:pBdr>
          <w:top w:val="nil"/>
          <w:left w:val="nil"/>
          <w:bottom w:val="nil"/>
          <w:right w:val="nil"/>
          <w:between w:val="nil"/>
        </w:pBdr>
        <w:spacing w:after="60"/>
      </w:pPr>
    </w:p>
    <w:p w14:paraId="1EE5B9C6" w14:textId="77777777" w:rsidR="00125652" w:rsidRDefault="00CB796A">
      <w:pPr>
        <w:pBdr>
          <w:top w:val="nil"/>
          <w:left w:val="nil"/>
          <w:bottom w:val="nil"/>
          <w:right w:val="nil"/>
          <w:between w:val="nil"/>
        </w:pBdr>
        <w:spacing w:after="60"/>
        <w:jc w:val="left"/>
      </w:pPr>
      <w:r>
        <w:t xml:space="preserve"> </w:t>
      </w:r>
    </w:p>
    <w:p w14:paraId="1EE5B9C7" w14:textId="77777777" w:rsidR="00125652" w:rsidRDefault="00125652">
      <w:pPr>
        <w:pBdr>
          <w:top w:val="nil"/>
          <w:left w:val="nil"/>
          <w:bottom w:val="nil"/>
          <w:right w:val="nil"/>
          <w:between w:val="nil"/>
        </w:pBdr>
        <w:spacing w:after="60"/>
        <w:jc w:val="left"/>
      </w:pPr>
    </w:p>
    <w:p w14:paraId="1EE5B9C8" w14:textId="77777777" w:rsidR="00125652" w:rsidRDefault="00125652">
      <w:pPr>
        <w:pBdr>
          <w:top w:val="nil"/>
          <w:left w:val="nil"/>
          <w:bottom w:val="nil"/>
          <w:right w:val="nil"/>
          <w:between w:val="nil"/>
        </w:pBdr>
        <w:spacing w:after="60"/>
      </w:pPr>
    </w:p>
    <w:sectPr w:rsidR="00125652">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93619"/>
    <w:multiLevelType w:val="multilevel"/>
    <w:tmpl w:val="22823BE4"/>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60618CF"/>
    <w:multiLevelType w:val="multilevel"/>
    <w:tmpl w:val="C3A2D970"/>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E0B582B"/>
    <w:multiLevelType w:val="multilevel"/>
    <w:tmpl w:val="401E31C2"/>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652"/>
    <w:rsid w:val="00125652"/>
    <w:rsid w:val="00570FF5"/>
    <w:rsid w:val="00CB796A"/>
    <w:rsid w:val="00D17B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5B98B"/>
  <w15:docId w15:val="{89EC96D3-CCF1-4C42-AA92-52CBE1FB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Docs/R1-2008868.zip" TargetMode="External"/><Relationship Id="rId3" Type="http://schemas.openxmlformats.org/officeDocument/2006/relationships/settings" Target="settings.xml"/><Relationship Id="rId7" Type="http://schemas.openxmlformats.org/officeDocument/2006/relationships/hyperlink" Target="https://www.3gpp.org/ftp/tsg_ran/WG1_RL1/TSGR1_103-e/Docs/R1-20090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TSG_RAN/TSGR_86/Docs/RP-193235.zip" TargetMode="External"/><Relationship Id="rId11" Type="http://schemas.openxmlformats.org/officeDocument/2006/relationships/theme" Target="theme/theme1.xml"/><Relationship Id="rId5" Type="http://schemas.openxmlformats.org/officeDocument/2006/relationships/hyperlink" Target="https://www.3gpp.org/ftp/tsg_ran/TSG_RAN/TSGR_86/Docs/RP-192670.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ot-analytics.com/state-of-the-iot-2020-12-billion-iot-connections-surpassing-non-iot-for-the-first-t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1224</Words>
  <Characters>6980</Characters>
  <Application>Microsoft Office Word</Application>
  <DocSecurity>0</DocSecurity>
  <Lines>58</Lines>
  <Paragraphs>16</Paragraphs>
  <ScaleCrop>false</ScaleCrop>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van der Pool</cp:lastModifiedBy>
  <cp:revision>4</cp:revision>
  <dcterms:created xsi:type="dcterms:W3CDTF">2021-03-15T09:58:00Z</dcterms:created>
  <dcterms:modified xsi:type="dcterms:W3CDTF">2021-03-15T10:01:00Z</dcterms:modified>
</cp:coreProperties>
</file>